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9BAFC" w14:textId="77777777" w:rsidR="00F417F5" w:rsidRPr="00F417F5" w:rsidRDefault="00F417F5" w:rsidP="00F417F5">
      <w:pPr>
        <w:pStyle w:val="p1"/>
        <w:spacing w:before="0" w:beforeAutospacing="0" w:line="240" w:lineRule="exact"/>
        <w:rPr>
          <w:rFonts w:ascii="ＭＳ 明朝" w:eastAsia="ＭＳ 明朝" w:hAnsi="ＭＳ 明朝"/>
          <w:b/>
          <w:bCs/>
          <w:sz w:val="21"/>
          <w:szCs w:val="21"/>
        </w:rPr>
      </w:pPr>
      <w:r w:rsidRPr="00F417F5">
        <w:rPr>
          <w:rFonts w:ascii="ＭＳ 明朝" w:eastAsia="ＭＳ 明朝" w:hAnsi="ＭＳ 明朝"/>
          <w:b/>
          <w:bCs/>
          <w:sz w:val="21"/>
          <w:szCs w:val="21"/>
        </w:rPr>
        <w:t>主観と客観のギャップから始まる地域循環型フレイル予防</w:t>
      </w:r>
    </w:p>
    <w:p w14:paraId="35523943" w14:textId="74874ADF" w:rsidR="00F417F5" w:rsidRDefault="00F417F5" w:rsidP="00F417F5">
      <w:pPr>
        <w:pStyle w:val="p1"/>
        <w:spacing w:before="0" w:beforeAutospacing="0" w:line="240" w:lineRule="exact"/>
        <w:rPr>
          <w:rFonts w:ascii="ＭＳ 明朝" w:eastAsia="ＭＳ 明朝" w:hAnsi="ＭＳ 明朝"/>
          <w:b/>
          <w:bCs/>
          <w:sz w:val="21"/>
          <w:szCs w:val="21"/>
        </w:rPr>
      </w:pPr>
      <w:r w:rsidRPr="00F417F5">
        <w:rPr>
          <w:rFonts w:ascii="ＭＳ 明朝" w:eastAsia="ＭＳ 明朝" w:hAnsi="ＭＳ 明朝" w:hint="eastAsia"/>
          <w:b/>
          <w:bCs/>
          <w:sz w:val="21"/>
          <w:szCs w:val="21"/>
        </w:rPr>
        <w:t>〜</w:t>
      </w:r>
      <w:r w:rsidRPr="00F417F5">
        <w:rPr>
          <w:rFonts w:ascii="ＭＳ 明朝" w:eastAsia="ＭＳ 明朝" w:hAnsi="ＭＳ 明朝"/>
          <w:b/>
          <w:bCs/>
          <w:sz w:val="21"/>
          <w:szCs w:val="21"/>
        </w:rPr>
        <w:t>薬局が支える健康寿命延伸プロジェクト</w:t>
      </w:r>
      <w:r w:rsidRPr="00F417F5">
        <w:rPr>
          <w:rFonts w:ascii="ＭＳ 明朝" w:eastAsia="ＭＳ 明朝" w:hAnsi="ＭＳ 明朝" w:hint="eastAsia"/>
          <w:b/>
          <w:bCs/>
          <w:sz w:val="21"/>
          <w:szCs w:val="21"/>
        </w:rPr>
        <w:t>〜</w:t>
      </w:r>
    </w:p>
    <w:p w14:paraId="36403FCF" w14:textId="538A6B26" w:rsidR="008D69D2" w:rsidRPr="008D69D2" w:rsidRDefault="008D69D2" w:rsidP="00F417F5">
      <w:pPr>
        <w:pStyle w:val="p1"/>
        <w:spacing w:before="0" w:beforeAutospacing="0" w:line="240" w:lineRule="exact"/>
        <w:rPr>
          <w:rFonts w:ascii="ＭＳ 明朝" w:eastAsia="ＭＳ 明朝" w:hAnsi="ＭＳ 明朝" w:hint="eastAsia"/>
          <w:b/>
          <w:bCs/>
          <w:sz w:val="21"/>
          <w:szCs w:val="21"/>
        </w:rPr>
      </w:pPr>
      <w:r>
        <w:rPr>
          <w:rFonts w:ascii="ＭＳ 明朝" w:eastAsia="ＭＳ 明朝" w:hAnsi="ＭＳ 明朝" w:hint="eastAsia"/>
          <w:b/>
          <w:bCs/>
          <w:sz w:val="21"/>
          <w:szCs w:val="21"/>
        </w:rPr>
        <w:t xml:space="preserve">　　　　　　　　　　　　　　　　　　　　　　　　　　　　</w:t>
      </w:r>
      <w:r w:rsidRPr="008D69D2">
        <w:rPr>
          <w:rFonts w:ascii="ＭＳ 明朝" w:eastAsia="ＭＳ 明朝" w:hAnsi="ＭＳ 明朝" w:cs="AppleExternalUIFontJapanese-W3" w:hint="eastAsia"/>
          <w:sz w:val="21"/>
          <w:szCs w:val="21"/>
        </w:rPr>
        <w:t>和田　憲周</w:t>
      </w:r>
      <w:r w:rsidRPr="008D69D2">
        <w:rPr>
          <w:rFonts w:ascii="ＭＳ 明朝" w:eastAsia="ＭＳ 明朝" w:hAnsi="ＭＳ 明朝" w:cs="AppleExternalUIFontJapanese-W3" w:hint="eastAsia"/>
          <w:sz w:val="21"/>
          <w:szCs w:val="21"/>
        </w:rPr>
        <w:t xml:space="preserve">　</w:t>
      </w:r>
      <w:r>
        <w:rPr>
          <w:rFonts w:ascii="ＭＳ 明朝" w:eastAsia="ＭＳ 明朝" w:hAnsi="ＭＳ 明朝" w:cs="AppleExternalUIFontJapanese-W3" w:hint="eastAsia"/>
          <w:sz w:val="21"/>
          <w:szCs w:val="21"/>
        </w:rPr>
        <w:t xml:space="preserve">　</w:t>
      </w:r>
      <w:r w:rsidRPr="008D69D2">
        <w:rPr>
          <w:rFonts w:ascii="ＭＳ 明朝" w:eastAsia="ＭＳ 明朝" w:hAnsi="ＭＳ 明朝" w:cs="AppleExternalUIFontJapanese-W3" w:hint="eastAsia"/>
          <w:sz w:val="21"/>
          <w:szCs w:val="21"/>
        </w:rPr>
        <w:t>原田　和美</w:t>
      </w:r>
    </w:p>
    <w:p w14:paraId="3FFA5200" w14:textId="33ED3664" w:rsidR="00F417F5" w:rsidRPr="00D44CAA" w:rsidRDefault="00F417F5" w:rsidP="00F417F5">
      <w:pPr>
        <w:pStyle w:val="p1"/>
        <w:rPr>
          <w:rFonts w:ascii="ＭＳ 明朝" w:eastAsia="ＭＳ 明朝" w:hAnsi="ＭＳ 明朝"/>
          <w:sz w:val="21"/>
          <w:szCs w:val="21"/>
        </w:rPr>
      </w:pPr>
      <w:r w:rsidRPr="00D44CAA">
        <w:rPr>
          <w:rFonts w:ascii="ＭＳ 明朝" w:eastAsia="ＭＳ 明朝" w:hAnsi="ＭＳ 明朝"/>
          <w:b/>
          <w:bCs/>
          <w:sz w:val="21"/>
          <w:szCs w:val="21"/>
        </w:rPr>
        <w:t>【背景・目的】</w:t>
      </w:r>
      <w:r w:rsidRPr="00D44CAA">
        <w:rPr>
          <w:rFonts w:ascii="ＭＳ 明朝" w:eastAsia="ＭＳ 明朝" w:hAnsi="ＭＳ 明朝" w:hint="eastAsia"/>
          <w:spacing w:val="3"/>
          <w:sz w:val="21"/>
          <w:szCs w:val="21"/>
        </w:rPr>
        <w:t>2016年に開始された健康サポート薬局制度では、</w:t>
      </w:r>
      <w:r w:rsidRPr="00D44CAA">
        <w:rPr>
          <w:rFonts w:ascii="ＭＳ 明朝" w:eastAsia="ＭＳ 明朝" w:hAnsi="ＭＳ 明朝"/>
          <w:sz w:val="21"/>
          <w:szCs w:val="21"/>
        </w:rPr>
        <w:t>地域住民の健康維持・増進への主体的関与が求められている。一般社団法人泉州メディカ</w:t>
      </w:r>
      <w:r w:rsidRPr="00D44CAA">
        <w:rPr>
          <w:rFonts w:ascii="ＭＳ 明朝" w:eastAsia="ＭＳ 明朝" w:hAnsi="ＭＳ 明朝" w:hint="eastAsia"/>
          <w:sz w:val="21"/>
          <w:szCs w:val="21"/>
        </w:rPr>
        <w:t>の全８薬局は健康サポート薬局の届出を行っており、健康サポート薬局の活動として、2</w:t>
      </w:r>
      <w:r w:rsidRPr="00D44CAA">
        <w:rPr>
          <w:rFonts w:ascii="ＭＳ 明朝" w:eastAsia="ＭＳ 明朝" w:hAnsi="ＭＳ 明朝"/>
          <w:sz w:val="21"/>
          <w:szCs w:val="21"/>
        </w:rPr>
        <w:t>025年度より、地域住民参加型健康イベント「健康いきいきプロジェクト」を立ち上げ、フレイル予防を通じた健康寿命延伸</w:t>
      </w:r>
      <w:r w:rsidR="0012058F" w:rsidRPr="00D44CAA">
        <w:rPr>
          <w:rFonts w:ascii="ＭＳ 明朝" w:eastAsia="ＭＳ 明朝" w:hAnsi="ＭＳ 明朝" w:hint="eastAsia"/>
          <w:sz w:val="21"/>
          <w:szCs w:val="21"/>
        </w:rPr>
        <w:t>と地域の子どもの支援</w:t>
      </w:r>
      <w:r w:rsidRPr="00D44CAA">
        <w:rPr>
          <w:rFonts w:ascii="ＭＳ 明朝" w:eastAsia="ＭＳ 明朝" w:hAnsi="ＭＳ 明朝"/>
          <w:sz w:val="21"/>
          <w:szCs w:val="21"/>
        </w:rPr>
        <w:t>を目的に開催している。本報告では、</w:t>
      </w:r>
      <w:r w:rsidR="0012058F" w:rsidRPr="00D44CAA">
        <w:rPr>
          <w:rFonts w:ascii="ＭＳ 明朝" w:eastAsia="ＭＳ 明朝" w:hAnsi="ＭＳ 明朝" w:hint="eastAsia"/>
          <w:sz w:val="21"/>
          <w:szCs w:val="21"/>
        </w:rPr>
        <w:t>フレイル予防調査における</w:t>
      </w:r>
      <w:r w:rsidRPr="00D44CAA">
        <w:rPr>
          <w:rFonts w:ascii="ＭＳ 明朝" w:eastAsia="ＭＳ 明朝" w:hAnsi="ＭＳ 明朝"/>
          <w:sz w:val="21"/>
          <w:szCs w:val="21"/>
        </w:rPr>
        <w:t>主観的評価と客観的評価の乖離に着目し、その途中成果を検討した。</w:t>
      </w:r>
    </w:p>
    <w:p w14:paraId="2703C8FE" w14:textId="1E14BCD1" w:rsidR="00F417F5" w:rsidRPr="00D44CAA" w:rsidRDefault="00F417F5" w:rsidP="00F417F5">
      <w:pPr>
        <w:pStyle w:val="p1"/>
        <w:rPr>
          <w:rFonts w:ascii="ＭＳ 明朝" w:eastAsia="ＭＳ 明朝" w:hAnsi="ＭＳ 明朝"/>
          <w:sz w:val="21"/>
          <w:szCs w:val="21"/>
        </w:rPr>
      </w:pPr>
      <w:r w:rsidRPr="00D44CAA">
        <w:rPr>
          <w:rFonts w:ascii="ＭＳ 明朝" w:eastAsia="ＭＳ 明朝" w:hAnsi="ＭＳ 明朝"/>
          <w:b/>
          <w:bCs/>
          <w:sz w:val="21"/>
          <w:szCs w:val="21"/>
        </w:rPr>
        <w:t>【方法】</w:t>
      </w:r>
      <w:r w:rsidRPr="00D44CAA">
        <w:rPr>
          <w:rFonts w:ascii="ＭＳ 明朝" w:eastAsia="ＭＳ 明朝" w:hAnsi="ＭＳ 明朝"/>
          <w:sz w:val="21"/>
          <w:szCs w:val="21"/>
        </w:rPr>
        <w:t>対象は当法人薬局利用の60歳以上</w:t>
      </w:r>
      <w:r w:rsidRPr="00D44CAA">
        <w:rPr>
          <w:rFonts w:ascii="ＭＳ 明朝" w:eastAsia="ＭＳ 明朝" w:hAnsi="ＭＳ 明朝" w:hint="eastAsia"/>
          <w:sz w:val="21"/>
          <w:szCs w:val="21"/>
        </w:rPr>
        <w:t>の地域</w:t>
      </w:r>
      <w:r w:rsidRPr="00D44CAA">
        <w:rPr>
          <w:rFonts w:ascii="ＭＳ 明朝" w:eastAsia="ＭＳ 明朝" w:hAnsi="ＭＳ 明朝"/>
          <w:sz w:val="21"/>
          <w:szCs w:val="21"/>
        </w:rPr>
        <w:t>住民</w:t>
      </w:r>
      <w:r w:rsidRPr="00D44CAA">
        <w:rPr>
          <w:rFonts w:ascii="ＭＳ 明朝" w:eastAsia="ＭＳ 明朝" w:hAnsi="ＭＳ 明朝" w:hint="eastAsia"/>
          <w:sz w:val="21"/>
          <w:szCs w:val="21"/>
        </w:rPr>
        <w:t>とした。参加者には</w:t>
      </w:r>
      <w:r w:rsidRPr="00D44CAA">
        <w:rPr>
          <w:rFonts w:ascii="ＭＳ 明朝" w:eastAsia="ＭＳ 明朝" w:hAnsi="ＭＳ 明朝"/>
          <w:sz w:val="21"/>
          <w:szCs w:val="21"/>
        </w:rPr>
        <w:t>①自己認識アンケート（基本チェックリスト・簡易フレイルリスト</w:t>
      </w:r>
      <w:r w:rsidRPr="00D44CAA">
        <w:rPr>
          <w:rFonts w:ascii="ＭＳ 明朝" w:eastAsia="ＭＳ 明朝" w:hAnsi="ＭＳ 明朝" w:hint="eastAsia"/>
          <w:sz w:val="21"/>
          <w:szCs w:val="21"/>
        </w:rPr>
        <w:t>・日本版</w:t>
      </w:r>
      <w:r w:rsidRPr="00D44CAA">
        <w:rPr>
          <w:rFonts w:ascii="ＭＳ 明朝" w:eastAsia="ＭＳ 明朝" w:hAnsi="ＭＳ 明朝"/>
          <w:sz w:val="21"/>
          <w:szCs w:val="21"/>
        </w:rPr>
        <w:t>CHS</w:t>
      </w:r>
      <w:r w:rsidRPr="00D44CAA">
        <w:rPr>
          <w:rFonts w:ascii="ＭＳ 明朝" w:eastAsia="ＭＳ 明朝" w:hAnsi="ＭＳ 明朝" w:hint="eastAsia"/>
          <w:sz w:val="21"/>
          <w:szCs w:val="21"/>
        </w:rPr>
        <w:t>基準）</w:t>
      </w:r>
      <w:r w:rsidRPr="00D44CAA">
        <w:rPr>
          <w:rFonts w:ascii="ＭＳ 明朝" w:eastAsia="ＭＳ 明朝" w:hAnsi="ＭＳ 明朝"/>
          <w:sz w:val="21"/>
          <w:szCs w:val="21"/>
        </w:rPr>
        <w:t>、②フレイル講義、③体組成・握力・歩行速度測定を実施し、結果は後日薬局で個別返却・生活習慣指導を行った。さらに参加者1名につき500円を地域の子ども食堂</w:t>
      </w:r>
      <w:r w:rsidRPr="00D44CAA">
        <w:rPr>
          <w:rFonts w:ascii="ＭＳ 明朝" w:eastAsia="ＭＳ 明朝" w:hAnsi="ＭＳ 明朝" w:hint="eastAsia"/>
          <w:sz w:val="21"/>
          <w:szCs w:val="21"/>
        </w:rPr>
        <w:t>等</w:t>
      </w:r>
      <w:r w:rsidRPr="00D44CAA">
        <w:rPr>
          <w:rFonts w:ascii="ＭＳ 明朝" w:eastAsia="ＭＳ 明朝" w:hAnsi="ＭＳ 明朝"/>
          <w:sz w:val="21"/>
          <w:szCs w:val="21"/>
        </w:rPr>
        <w:t>へ寄付し、高齢者の健康づくりが次世代支援へつながる地域循環型の活動として実施した。</w:t>
      </w:r>
    </w:p>
    <w:p w14:paraId="0FAEC969" w14:textId="051C3865" w:rsidR="00F417F5" w:rsidRPr="00D44CAA" w:rsidRDefault="00F417F5" w:rsidP="00F417F5">
      <w:pPr>
        <w:pStyle w:val="p1"/>
        <w:rPr>
          <w:rFonts w:ascii="ＭＳ 明朝" w:eastAsia="ＭＳ 明朝" w:hAnsi="ＭＳ 明朝"/>
          <w:sz w:val="21"/>
          <w:szCs w:val="21"/>
        </w:rPr>
      </w:pPr>
      <w:r w:rsidRPr="00D44CAA">
        <w:rPr>
          <w:rFonts w:ascii="ＭＳ 明朝" w:eastAsia="ＭＳ 明朝" w:hAnsi="ＭＳ 明朝"/>
          <w:b/>
          <w:bCs/>
          <w:sz w:val="21"/>
          <w:szCs w:val="21"/>
        </w:rPr>
        <w:t>【結果】</w:t>
      </w:r>
      <w:r w:rsidRPr="00D44CAA">
        <w:rPr>
          <w:rFonts w:ascii="ＭＳ 明朝" w:eastAsia="ＭＳ 明朝" w:hAnsi="ＭＳ 明朝"/>
          <w:sz w:val="21"/>
          <w:szCs w:val="21"/>
        </w:rPr>
        <w:t>2025年4～12月に6回開催し80名が参加。「健康に不安なし」と回答した参加者でも握力低下や歩行速度遅延が認められ、主観的評価と客観的評価の乖離が確認された。一方、測定値が良好でも「体力低下を感じる」と回答する例もあり、過度な不安の是正</w:t>
      </w:r>
      <w:r w:rsidR="0012058F" w:rsidRPr="00D44CAA">
        <w:rPr>
          <w:rFonts w:ascii="ＭＳ 明朝" w:eastAsia="ＭＳ 明朝" w:hAnsi="ＭＳ 明朝" w:hint="eastAsia"/>
          <w:sz w:val="21"/>
          <w:szCs w:val="21"/>
        </w:rPr>
        <w:t>や早期からの予防活動への実施</w:t>
      </w:r>
      <w:r w:rsidRPr="00D44CAA">
        <w:rPr>
          <w:rFonts w:ascii="ＭＳ 明朝" w:eastAsia="ＭＳ 明朝" w:hAnsi="ＭＳ 明朝"/>
          <w:sz w:val="21"/>
          <w:szCs w:val="21"/>
        </w:rPr>
        <w:t>にもつながった。</w:t>
      </w:r>
    </w:p>
    <w:p w14:paraId="02315FCB" w14:textId="4C0D0917" w:rsidR="00F417F5" w:rsidRPr="00D44CAA" w:rsidRDefault="00F417F5" w:rsidP="00F417F5">
      <w:pPr>
        <w:pStyle w:val="p1"/>
        <w:rPr>
          <w:rFonts w:ascii="ＭＳ 明朝" w:eastAsia="ＭＳ 明朝" w:hAnsi="ＭＳ 明朝"/>
          <w:sz w:val="21"/>
          <w:szCs w:val="21"/>
        </w:rPr>
      </w:pPr>
      <w:r w:rsidRPr="00D44CAA">
        <w:rPr>
          <w:rFonts w:ascii="ＭＳ 明朝" w:eastAsia="ＭＳ 明朝" w:hAnsi="ＭＳ 明朝"/>
          <w:b/>
          <w:bCs/>
          <w:sz w:val="21"/>
          <w:szCs w:val="21"/>
        </w:rPr>
        <w:t>【考察】</w:t>
      </w:r>
      <w:r w:rsidRPr="00D44CAA">
        <w:rPr>
          <w:rFonts w:ascii="ＭＳ 明朝" w:eastAsia="ＭＳ 明朝" w:hAnsi="ＭＳ 明朝"/>
          <w:sz w:val="21"/>
          <w:szCs w:val="21"/>
        </w:rPr>
        <w:t>フレイルは自覚しにくく、主観評価のみでは見逃しや過小・過大評価が生じうる。健康サポート薬局が地域の身近な</w:t>
      </w:r>
      <w:r w:rsidRPr="00D44CAA">
        <w:rPr>
          <w:rFonts w:ascii="ＭＳ 明朝" w:eastAsia="ＭＳ 明朝" w:hAnsi="ＭＳ 明朝" w:hint="eastAsia"/>
          <w:sz w:val="21"/>
          <w:szCs w:val="21"/>
        </w:rPr>
        <w:t>健康支援</w:t>
      </w:r>
      <w:r w:rsidRPr="00D44CAA">
        <w:rPr>
          <w:rFonts w:ascii="ＭＳ 明朝" w:eastAsia="ＭＳ 明朝" w:hAnsi="ＭＳ 明朝"/>
          <w:sz w:val="21"/>
          <w:szCs w:val="21"/>
        </w:rPr>
        <w:t>拠点として客観測定と継続フォローを提供することで、早期気づきと健康意識向上の双方に寄与した。本取り組みは、高齢者の健康支援が地域の次世代支援へ還元される循環型モデルとして、保険薬局が地域包括ケアの一翼として健康寿命延伸に貢献し得る実践例である。</w:t>
      </w:r>
    </w:p>
    <w:p w14:paraId="21A6C724" w14:textId="0B7DF0D6" w:rsidR="00A80C5D" w:rsidRDefault="00A80C5D">
      <w:pPr>
        <w:widowControl/>
        <w:jc w:val="left"/>
        <w:rPr>
          <w:rFonts w:ascii="ＭＳ 明朝" w:eastAsia="ＭＳ 明朝" w:hAnsi="ＭＳ 明朝"/>
          <w:szCs w:val="21"/>
        </w:rPr>
      </w:pPr>
      <w:r>
        <w:rPr>
          <w:rFonts w:ascii="ＭＳ 明朝" w:eastAsia="ＭＳ 明朝" w:hAnsi="ＭＳ 明朝"/>
          <w:szCs w:val="21"/>
        </w:rPr>
        <w:br w:type="page"/>
      </w:r>
    </w:p>
    <w:p w14:paraId="4E3C5F42" w14:textId="77777777" w:rsidR="00A80C5D" w:rsidRDefault="00A80C5D" w:rsidP="00A80C5D">
      <w:pPr>
        <w:pStyle w:val="aa"/>
        <w:rPr>
          <w:rFonts w:ascii="ＭＳ 明朝" w:eastAsia="ＭＳ 明朝" w:hAnsi="ＭＳ 明朝"/>
          <w:color w:val="2B2B2B"/>
          <w:spacing w:val="3"/>
          <w:sz w:val="21"/>
          <w:szCs w:val="21"/>
        </w:rPr>
      </w:pPr>
      <w:r>
        <w:rPr>
          <w:noProof/>
        </w:rPr>
        <w:lastRenderedPageBreak/>
        <w:drawing>
          <wp:inline distT="0" distB="0" distL="0" distR="0" wp14:anchorId="47CC099B" wp14:editId="7999576C">
            <wp:extent cx="5400040" cy="3037840"/>
            <wp:effectExtent l="0" t="0" r="0" b="0"/>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5400040" cy="3037840"/>
                    </a:xfrm>
                    <a:prstGeom prst="rect">
                      <a:avLst/>
                    </a:prstGeom>
                  </pic:spPr>
                </pic:pic>
              </a:graphicData>
            </a:graphic>
          </wp:inline>
        </w:drawing>
      </w:r>
    </w:p>
    <w:p w14:paraId="7D1F586A" w14:textId="77777777" w:rsidR="00A80C5D" w:rsidRDefault="00A80C5D" w:rsidP="00A80C5D">
      <w:pPr>
        <w:pStyle w:val="aa"/>
        <w:rPr>
          <w:rFonts w:ascii="ＭＳ 明朝" w:eastAsia="ＭＳ 明朝" w:hAnsi="ＭＳ 明朝"/>
          <w:color w:val="2B2B2B"/>
          <w:spacing w:val="3"/>
          <w:sz w:val="21"/>
          <w:szCs w:val="21"/>
        </w:rPr>
      </w:pPr>
    </w:p>
    <w:p w14:paraId="368FDADC" w14:textId="77777777" w:rsidR="00A80C5D" w:rsidRPr="009A71AD" w:rsidRDefault="00A80C5D" w:rsidP="00A80C5D">
      <w:pPr>
        <w:pStyle w:val="aa"/>
        <w:rPr>
          <w:rFonts w:ascii="ＭＳ 明朝" w:eastAsia="ＭＳ 明朝" w:hAnsi="ＭＳ 明朝"/>
          <w:color w:val="2B2B2B"/>
          <w:spacing w:val="3"/>
          <w:sz w:val="21"/>
          <w:szCs w:val="21"/>
        </w:rPr>
      </w:pPr>
      <w:r>
        <w:rPr>
          <w:noProof/>
        </w:rPr>
        <w:drawing>
          <wp:inline distT="0" distB="0" distL="0" distR="0" wp14:anchorId="0ABBBB74" wp14:editId="5F13164C">
            <wp:extent cx="5400040" cy="3037840"/>
            <wp:effectExtent l="0" t="0" r="0" b="0"/>
            <wp:docPr id="2" name="グラフィック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5400040" cy="3037840"/>
                    </a:xfrm>
                    <a:prstGeom prst="rect">
                      <a:avLst/>
                    </a:prstGeom>
                  </pic:spPr>
                </pic:pic>
              </a:graphicData>
            </a:graphic>
          </wp:inline>
        </w:drawing>
      </w:r>
    </w:p>
    <w:p w14:paraId="798CEC26" w14:textId="77777777" w:rsidR="007670FF" w:rsidRPr="00F417F5" w:rsidRDefault="007670FF">
      <w:pPr>
        <w:rPr>
          <w:rFonts w:ascii="ＭＳ 明朝" w:eastAsia="ＭＳ 明朝" w:hAnsi="ＭＳ 明朝"/>
          <w:szCs w:val="21"/>
        </w:rPr>
      </w:pPr>
    </w:p>
    <w:sectPr w:rsidR="007670FF" w:rsidRPr="00F417F5">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HG丸ｺﾞｼｯｸM-PRO">
    <w:panose1 w:val="020F0600000000000000"/>
    <w:charset w:val="80"/>
    <w:family w:val="swiss"/>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ppleExternalUIFontJapanese-W3">
    <w:altName w:val="Yu Gothic"/>
    <w:panose1 w:val="020B0604020202020204"/>
    <w:charset w:val="80"/>
    <w:family w:val="auto"/>
    <w:notTrueType/>
    <w:pitch w:val="default"/>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7F5"/>
    <w:rsid w:val="0012058F"/>
    <w:rsid w:val="00122E70"/>
    <w:rsid w:val="0014064F"/>
    <w:rsid w:val="001B0939"/>
    <w:rsid w:val="00294893"/>
    <w:rsid w:val="002F3DB8"/>
    <w:rsid w:val="007670FF"/>
    <w:rsid w:val="007D503C"/>
    <w:rsid w:val="008C4B4E"/>
    <w:rsid w:val="008D69D2"/>
    <w:rsid w:val="00A1797F"/>
    <w:rsid w:val="00A80C5D"/>
    <w:rsid w:val="00D44CAA"/>
    <w:rsid w:val="00F417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A774936"/>
  <w15:chartTrackingRefBased/>
  <w15:docId w15:val="{FE8EFBAA-645C-244C-AE15-91943E619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417F5"/>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F417F5"/>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F417F5"/>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F417F5"/>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F417F5"/>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F417F5"/>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F417F5"/>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F417F5"/>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F417F5"/>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417F5"/>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F417F5"/>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F417F5"/>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F417F5"/>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F417F5"/>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F417F5"/>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F417F5"/>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F417F5"/>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F417F5"/>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F417F5"/>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F417F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417F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F417F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417F5"/>
    <w:pPr>
      <w:spacing w:before="160" w:after="160"/>
      <w:jc w:val="center"/>
    </w:pPr>
    <w:rPr>
      <w:i/>
      <w:iCs/>
      <w:color w:val="404040" w:themeColor="text1" w:themeTint="BF"/>
    </w:rPr>
  </w:style>
  <w:style w:type="character" w:customStyle="1" w:styleId="a8">
    <w:name w:val="引用文 (文字)"/>
    <w:basedOn w:val="a0"/>
    <w:link w:val="a7"/>
    <w:uiPriority w:val="29"/>
    <w:rsid w:val="00F417F5"/>
    <w:rPr>
      <w:i/>
      <w:iCs/>
      <w:color w:val="404040" w:themeColor="text1" w:themeTint="BF"/>
    </w:rPr>
  </w:style>
  <w:style w:type="paragraph" w:styleId="a9">
    <w:name w:val="List Paragraph"/>
    <w:basedOn w:val="a"/>
    <w:uiPriority w:val="34"/>
    <w:qFormat/>
    <w:rsid w:val="00F417F5"/>
    <w:pPr>
      <w:ind w:left="720"/>
      <w:contextualSpacing/>
    </w:pPr>
  </w:style>
  <w:style w:type="character" w:styleId="21">
    <w:name w:val="Intense Emphasis"/>
    <w:basedOn w:val="a0"/>
    <w:uiPriority w:val="21"/>
    <w:qFormat/>
    <w:rsid w:val="00F417F5"/>
    <w:rPr>
      <w:i/>
      <w:iCs/>
      <w:color w:val="0F4761" w:themeColor="accent1" w:themeShade="BF"/>
    </w:rPr>
  </w:style>
  <w:style w:type="paragraph" w:styleId="22">
    <w:name w:val="Intense Quote"/>
    <w:basedOn w:val="a"/>
    <w:next w:val="a"/>
    <w:link w:val="23"/>
    <w:uiPriority w:val="30"/>
    <w:qFormat/>
    <w:rsid w:val="00F417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F417F5"/>
    <w:rPr>
      <w:i/>
      <w:iCs/>
      <w:color w:val="0F4761" w:themeColor="accent1" w:themeShade="BF"/>
    </w:rPr>
  </w:style>
  <w:style w:type="character" w:styleId="24">
    <w:name w:val="Intense Reference"/>
    <w:basedOn w:val="a0"/>
    <w:uiPriority w:val="32"/>
    <w:qFormat/>
    <w:rsid w:val="00F417F5"/>
    <w:rPr>
      <w:b/>
      <w:bCs/>
      <w:smallCaps/>
      <w:color w:val="0F4761" w:themeColor="accent1" w:themeShade="BF"/>
      <w:spacing w:val="5"/>
    </w:rPr>
  </w:style>
  <w:style w:type="paragraph" w:customStyle="1" w:styleId="p1">
    <w:name w:val="p1"/>
    <w:basedOn w:val="a"/>
    <w:rsid w:val="00F417F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p2">
    <w:name w:val="p2"/>
    <w:basedOn w:val="a"/>
    <w:rsid w:val="00F417F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p3">
    <w:name w:val="p3"/>
    <w:basedOn w:val="a"/>
    <w:rsid w:val="00F417F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a">
    <w:name w:val="Body Text"/>
    <w:basedOn w:val="a"/>
    <w:link w:val="ab"/>
    <w:unhideWhenUsed/>
    <w:rsid w:val="00A80C5D"/>
    <w:rPr>
      <w:rFonts w:ascii="HG丸ｺﾞｼｯｸM-PRO" w:eastAsia="HG丸ｺﾞｼｯｸM-PRO" w:hAnsi="Century" w:cs="Times New Roman"/>
      <w:sz w:val="32"/>
      <w:szCs w:val="20"/>
    </w:rPr>
  </w:style>
  <w:style w:type="character" w:customStyle="1" w:styleId="ab">
    <w:name w:val="本文 (文字)"/>
    <w:basedOn w:val="a0"/>
    <w:link w:val="aa"/>
    <w:rsid w:val="00A80C5D"/>
    <w:rPr>
      <w:rFonts w:ascii="HG丸ｺﾞｼｯｸM-PRO" w:eastAsia="HG丸ｺﾞｼｯｸM-PRO" w:hAnsi="Century" w:cs="Times New Roman"/>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sv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128</Words>
  <Characters>730</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和田　憲周</dc:creator>
  <cp:keywords/>
  <dc:description/>
  <cp:lastModifiedBy>二階堂 元重</cp:lastModifiedBy>
  <cp:revision>3</cp:revision>
  <dcterms:created xsi:type="dcterms:W3CDTF">2026-02-27T19:51:00Z</dcterms:created>
  <dcterms:modified xsi:type="dcterms:W3CDTF">2026-03-07T10:46:00Z</dcterms:modified>
</cp:coreProperties>
</file>